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00"/>
      </w:tblGrid>
      <w:tr w:rsidR="00AD4CD2" w:rsidTr="00AD4CD2">
        <w:trPr>
          <w:tblCellSpacing w:w="22" w:type="dxa"/>
        </w:trPr>
        <w:tc>
          <w:tcPr>
            <w:tcW w:w="0" w:type="auto"/>
            <w:vAlign w:val="center"/>
            <w:hideMark/>
          </w:tcPr>
          <w:p w:rsidR="00AD4CD2" w:rsidRDefault="00AD4CD2">
            <w:pPr>
              <w:pStyle w:val="titolo"/>
              <w:jc w:val="center"/>
            </w:pPr>
            <w:r>
              <w:t>LE NOTIZIE DEL SECONDO BOLLETTINO - 2 LUGLIO 2013</w:t>
            </w:r>
          </w:p>
        </w:tc>
      </w:tr>
      <w:tr w:rsidR="00AD4CD2" w:rsidTr="00AD4CD2">
        <w:trPr>
          <w:tblCellSpacing w:w="22" w:type="dxa"/>
        </w:trPr>
        <w:tc>
          <w:tcPr>
            <w:tcW w:w="0" w:type="auto"/>
            <w:vAlign w:val="center"/>
            <w:hideMark/>
          </w:tcPr>
          <w:p w:rsidR="00AD4CD2" w:rsidRDefault="00D44AEC">
            <w:pPr>
              <w:pStyle w:val="testi"/>
            </w:pPr>
            <w:hyperlink r:id="rId4" w:tgtFrame="_new" w:history="1">
              <w:r w:rsidR="00AD4CD2">
                <w:rPr>
                  <w:rStyle w:val="link-lila1"/>
                </w:rPr>
                <w:t>Il trattamento dell’HIV nei bambini</w:t>
              </w:r>
            </w:hyperlink>
            <w:r w:rsidR="00AD4CD2">
              <w:br/>
              <w:t xml:space="preserve">Dopo la presentazione delle nuove linee guida dell’Organizzazione Mondiale della Sanità (OMS) per il trattamento dell’HIV alla 7° Conferenza dell’International AIDS Society, gli esperti di pediatria hanno lanciato un appello a incrementare gli sforzi per estendere la diagnosi precoce nei bambini e mettere a punto farmaci più facili da assumere per loro. </w:t>
            </w:r>
            <w:r w:rsidR="00AD4CD2">
              <w:br/>
              <w:t>Le nuove linee guida OMS raccomandano che tutti i bambini al di sotto dei cinque anni inizino immediatamente il trattamento. La stessa raccomandazione è rivolta anche ai bambini di età uguale o superiore ai cinque anni con una conta dei CD4 inferiore alle 500 cellule per mm3.</w:t>
            </w:r>
          </w:p>
        </w:tc>
      </w:tr>
      <w:tr w:rsidR="00AD4CD2" w:rsidTr="00AD4CD2">
        <w:trPr>
          <w:tblCellSpacing w:w="22" w:type="dxa"/>
        </w:trPr>
        <w:tc>
          <w:tcPr>
            <w:tcW w:w="0" w:type="auto"/>
            <w:vAlign w:val="center"/>
            <w:hideMark/>
          </w:tcPr>
          <w:p w:rsidR="00AD4CD2" w:rsidRDefault="00D44AEC">
            <w:pPr>
              <w:pStyle w:val="testi"/>
            </w:pPr>
            <w:hyperlink r:id="rId5" w:tgtFrame="_new" w:history="1">
              <w:r w:rsidR="00AD4CD2">
                <w:rPr>
                  <w:rStyle w:val="link-lila1"/>
                </w:rPr>
                <w:t>Entrare e rimanere nel percorso cura</w:t>
              </w:r>
            </w:hyperlink>
            <w:r w:rsidR="00AD4CD2">
              <w:br/>
              <w:t>Per il benessere della persona sieropositiva è importante che ci sia un costante contatto con i servizi per il trattamento e la cura dell’HIV, con un continuo monitoraggio e un intervento tempestivo sui problemi di salute. L’erogazione dei servizi HIV nel mondo varia sensibilmente da regione a regione, e spesso la loro efficacia è condizionata sia dalla mancata percezione dei benefici che dai limiti dei sistemi sanitari locali. Oggi ci sono nuovi modelli di cura, pensati soprattutto per i contesti poveri di risorse, volti a coinvolgere e mantenere in cura le persone sieropositive e quelle a rischio di contrarre l’infezione, senza gravare insostenibilmente sui servizi sanitari.</w:t>
            </w:r>
          </w:p>
        </w:tc>
      </w:tr>
      <w:tr w:rsidR="00AD4CD2" w:rsidTr="00AD4CD2">
        <w:trPr>
          <w:tblCellSpacing w:w="22" w:type="dxa"/>
        </w:trPr>
        <w:tc>
          <w:tcPr>
            <w:tcW w:w="0" w:type="auto"/>
            <w:vAlign w:val="center"/>
            <w:hideMark/>
          </w:tcPr>
          <w:p w:rsidR="00AD4CD2" w:rsidRDefault="00D44AEC">
            <w:pPr>
              <w:pStyle w:val="testi"/>
            </w:pPr>
            <w:hyperlink r:id="rId6" w:tgtFrame="_new" w:history="1">
              <w:r w:rsidR="00AD4CD2">
                <w:rPr>
                  <w:rStyle w:val="link-lila1"/>
                </w:rPr>
                <w:t>Prevenzione: educazione e sostegno per i MSM in Africa</w:t>
              </w:r>
            </w:hyperlink>
            <w:r w:rsidR="00AD4CD2">
              <w:br/>
              <w:t>La ricerca su salute e comportamento dei maschi gay e altri uomini che fanno sesso con uomini (MSM) dovrebbe essere messa maggiormente a frutto, traducendo le conoscenze acquisite in programmi di informazione e sostegno. È la conclusione raggiunta dopo un dibattito con il pubblico tenutosi ieri alla Conferenza.</w:t>
            </w:r>
            <w:r w:rsidR="00AD4CD2">
              <w:br/>
              <w:t>Come affermato alla Conferenza, la prevalenza di HIV tra gli MSM, a livello globale, è pari a quella degli eterosessuali nell’Africa sub-sahariana. A causa della mancanza di dati statistici dettagliati, è difficile avere il vero quadro della situazione di molti paesi africani, sia in termini di prevalenza che di rischio. A ostacolare l’attuazione di progetti di ricerca specificamente mirati agli MSM in Africa è anche la diffusa ostilità che circonda l’omosessualità in molte zone del Continente, rendendo difficile l’arruolamento di un campione rappresentativo di partecipanti. Un ulteriore limite è il fatto che nei progetti di ricerca non vengano offerti sostegno ed educazione continua.</w:t>
            </w:r>
          </w:p>
        </w:tc>
      </w:tr>
      <w:tr w:rsidR="00AD4CD2" w:rsidTr="00AD4CD2">
        <w:trPr>
          <w:tblCellSpacing w:w="22" w:type="dxa"/>
        </w:trPr>
        <w:tc>
          <w:tcPr>
            <w:tcW w:w="0" w:type="auto"/>
            <w:vAlign w:val="center"/>
            <w:hideMark/>
          </w:tcPr>
          <w:p w:rsidR="00AD4CD2" w:rsidRDefault="00D44AEC">
            <w:pPr>
              <w:pStyle w:val="testi"/>
            </w:pPr>
            <w:hyperlink r:id="rId7" w:tgtFrame="_new" w:history="1">
              <w:proofErr w:type="spellStart"/>
              <w:r w:rsidR="00AD4CD2">
                <w:rPr>
                  <w:rStyle w:val="link-lila1"/>
                </w:rPr>
                <w:t>Coinfezione</w:t>
              </w:r>
              <w:proofErr w:type="spellEnd"/>
              <w:r w:rsidR="00AD4CD2">
                <w:rPr>
                  <w:rStyle w:val="link-lila1"/>
                </w:rPr>
                <w:t xml:space="preserve"> da HIV ed epatite C nei maschi omosessuali</w:t>
              </w:r>
            </w:hyperlink>
            <w:r w:rsidR="00AD4CD2">
              <w:br/>
              <w:t xml:space="preserve">Le patologie epatiche restano una frequente causa di malattia e morte tra le persone sieropositive, e particolarmente problematica è la </w:t>
            </w:r>
            <w:proofErr w:type="spellStart"/>
            <w:r w:rsidR="00AD4CD2">
              <w:t>coinfezione</w:t>
            </w:r>
            <w:proofErr w:type="spellEnd"/>
            <w:r w:rsidR="00AD4CD2">
              <w:t xml:space="preserve"> con il virus dell’epatite, che provoca l’infiammazione del fegato. Dai risultati di uno studio condotto al Chelsea and Westminster Hospital di Londra si apprende adesso che i maschi gay guariti dall’epatite C vanno spesso incontro a una reinfezione. </w:t>
            </w:r>
            <w:r w:rsidR="00AD4CD2">
              <w:br/>
              <w:t>Dall’infezione da epatite B o C si può guarire senza bisogno di farmaci, anche se è più difficile per chi è anche affetto dall’HIV. Per l’epatite B e l’epatite C cronica sono disponibili trattamenti farmacologici e – diversamente dall’HIV – si può arrivare a una completa guarigione. Dopo aver contratto l’epatite B si diventa naturalmente immuni al virus che la causa: lo stesso non vale invece per l’epatite C, il che significa che si resta vulnerabili alla reinfezione.</w:t>
            </w:r>
          </w:p>
        </w:tc>
      </w:tr>
      <w:tr w:rsidR="00AD4CD2" w:rsidTr="00AD4CD2">
        <w:trPr>
          <w:tblCellSpacing w:w="22" w:type="dxa"/>
        </w:trPr>
        <w:tc>
          <w:tcPr>
            <w:tcW w:w="0" w:type="auto"/>
            <w:vAlign w:val="center"/>
            <w:hideMark/>
          </w:tcPr>
          <w:p w:rsidR="00AD4CD2" w:rsidRDefault="00D44AEC">
            <w:pPr>
              <w:pStyle w:val="testi"/>
            </w:pPr>
            <w:hyperlink r:id="rId8" w:tgtFrame="_new" w:history="1">
              <w:r w:rsidR="00AD4CD2">
                <w:rPr>
                  <w:rStyle w:val="link-lila1"/>
                </w:rPr>
                <w:t>Infohep.org: per essere sempre aggiornati sugli ultimi sviluppi in materia di epatite</w:t>
              </w:r>
            </w:hyperlink>
            <w:r w:rsidR="00AD4CD2">
              <w:br/>
              <w:t>La ricerca sull’epatite è in continua evoluzione. NAM è lieta di presentare agli abbonati ai suoi bollettini un nuovo sito creato in collaborazione con la Federazione Europea Pazienti Epatopatici (ELPA).</w:t>
            </w:r>
            <w:r w:rsidR="00AD4CD2">
              <w:br/>
              <w:t>Insieme lavoreremo per diffondere informazioni chiare e accurate per dare sostegno alle associazioni dei pazienti e a tutti coloro che operano nel campo dell’epatite in Europa.</w:t>
            </w:r>
            <w:r w:rsidR="00AD4CD2">
              <w:br/>
              <w:t>L’obiettivo di infohep.org è di rappresentare una risorsa online di alta qualità, che contribuisca a fare informazione sull’epatite virale, le terapie disponibili e i bisogni delle persone che ne sono affette in Europa.</w:t>
            </w:r>
          </w:p>
        </w:tc>
      </w:tr>
      <w:tr w:rsidR="00AD4CD2" w:rsidTr="00AD4CD2">
        <w:trPr>
          <w:tblCellSpacing w:w="22" w:type="dxa"/>
        </w:trPr>
        <w:tc>
          <w:tcPr>
            <w:tcW w:w="0" w:type="auto"/>
            <w:vAlign w:val="center"/>
            <w:hideMark/>
          </w:tcPr>
          <w:p w:rsidR="00AD4CD2" w:rsidRDefault="00AD4CD2">
            <w:pPr>
              <w:pStyle w:val="testi"/>
            </w:pPr>
            <w:r>
              <w:t>È disponibile online,</w:t>
            </w:r>
            <w:hyperlink r:id="rId9" w:history="1">
              <w:r>
                <w:rPr>
                  <w:rStyle w:val="Collegamentoipertestuale"/>
                  <w:b/>
                  <w:bCs/>
                  <w:color w:val="FF0000"/>
                </w:rPr>
                <w:t xml:space="preserve"> a questo indirizzo</w:t>
              </w:r>
            </w:hyperlink>
            <w:r>
              <w:t xml:space="preserve">, il programma della conferenza, con gli </w:t>
            </w:r>
            <w:proofErr w:type="spellStart"/>
            <w:r>
              <w:t>abstract</w:t>
            </w:r>
            <w:proofErr w:type="spellEnd"/>
            <w:r>
              <w:t xml:space="preserve"> e dettagli sugli autori degli studi; una volta iniziati i lavori, inoltre saranno disponibili online anche i video dei momenti salienti della conferenza e le slide di alcune presentazioni.</w:t>
            </w:r>
          </w:p>
          <w:p w:rsidR="00A001C3" w:rsidRDefault="00A001C3" w:rsidP="00A001C3">
            <w:pPr>
              <w:pStyle w:val="testi"/>
              <w:jc w:val="center"/>
            </w:pPr>
            <w:r>
              <w:t xml:space="preserve">Oltre che sul sito </w:t>
            </w:r>
            <w:hyperlink r:id="rId10" w:history="1">
              <w:r>
                <w:rPr>
                  <w:rStyle w:val="Collegamentoipertestuale"/>
                  <w:b/>
                  <w:bCs/>
                  <w:color w:val="FF0000"/>
                </w:rPr>
                <w:t>www.lila.it</w:t>
              </w:r>
            </w:hyperlink>
            <w:r>
              <w:t xml:space="preserve">, puoi seguire le nostre attività tramite i nostri Social </w:t>
            </w:r>
            <w:proofErr w:type="spellStart"/>
            <w:r>
              <w:t>Networks</w:t>
            </w:r>
            <w:proofErr w:type="spellEnd"/>
            <w:r>
              <w:t>:</w:t>
            </w:r>
            <w:r>
              <w:br/>
            </w:r>
            <w:r>
              <w:rPr>
                <w:noProof/>
                <w:color w:val="0000FF"/>
              </w:rPr>
              <w:drawing>
                <wp:inline distT="0" distB="0" distL="0" distR="0">
                  <wp:extent cx="495300" cy="495300"/>
                  <wp:effectExtent l="19050" t="0" r="0" b="0"/>
                  <wp:docPr id="1" name="Immagine 1" descr="LILA Onlus su Facebook">
                    <a:hlinkClick xmlns:a="http://schemas.openxmlformats.org/drawingml/2006/main" r:id="rId11" tgtFrame="_new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ILA Onlus su Facebook">
                            <a:hlinkClick r:id="rId11" tgtFrame="_new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  </w:t>
            </w:r>
            <w:r>
              <w:rPr>
                <w:noProof/>
                <w:color w:val="0000FF"/>
              </w:rPr>
              <w:drawing>
                <wp:inline distT="0" distB="0" distL="0" distR="0">
                  <wp:extent cx="495300" cy="495300"/>
                  <wp:effectExtent l="19050" t="0" r="0" b="0"/>
                  <wp:docPr id="2" name="Immagine 2" descr="LILA Onlus su Twitter">
                    <a:hlinkClick xmlns:a="http://schemas.openxmlformats.org/drawingml/2006/main" r:id="rId13" tgtFrame="_new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ILA Onlus su Twitter">
                            <a:hlinkClick r:id="rId13" tgtFrame="_new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  </w:t>
            </w:r>
            <w:r>
              <w:rPr>
                <w:noProof/>
                <w:color w:val="0000FF"/>
              </w:rPr>
              <w:drawing>
                <wp:inline distT="0" distB="0" distL="0" distR="0">
                  <wp:extent cx="495300" cy="495300"/>
                  <wp:effectExtent l="19050" t="0" r="0" b="0"/>
                  <wp:docPr id="3" name="Immagine 3" descr="LILA Onlus su YouTube">
                    <a:hlinkClick xmlns:a="http://schemas.openxmlformats.org/drawingml/2006/main" r:id="rId15" tgtFrame="_new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ILA Onlus su YouTube">
                            <a:hlinkClick r:id="rId15" tgtFrame="_new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2232" w:rsidRDefault="004C2232"/>
    <w:sectPr w:rsidR="004C2232" w:rsidSect="004C22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D4CD2"/>
    <w:rsid w:val="0000670C"/>
    <w:rsid w:val="002C678A"/>
    <w:rsid w:val="003F00AA"/>
    <w:rsid w:val="004C2232"/>
    <w:rsid w:val="00737B86"/>
    <w:rsid w:val="00743210"/>
    <w:rsid w:val="009F5C40"/>
    <w:rsid w:val="00A001C3"/>
    <w:rsid w:val="00AA19F1"/>
    <w:rsid w:val="00AC3ADB"/>
    <w:rsid w:val="00AD4CD2"/>
    <w:rsid w:val="00D44AEC"/>
    <w:rsid w:val="00E0207D"/>
    <w:rsid w:val="00F578E5"/>
    <w:rsid w:val="00FB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4CD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D4CD2"/>
    <w:rPr>
      <w:color w:val="0000FF"/>
      <w:u w:val="single"/>
    </w:rPr>
  </w:style>
  <w:style w:type="paragraph" w:customStyle="1" w:styleId="titolo">
    <w:name w:val="titolo"/>
    <w:basedOn w:val="Normale"/>
    <w:rsid w:val="00AD4CD2"/>
    <w:pPr>
      <w:spacing w:before="100" w:beforeAutospacing="1" w:after="100" w:afterAutospacing="1"/>
    </w:pPr>
    <w:rPr>
      <w:rFonts w:ascii="Tahoma" w:hAnsi="Tahoma" w:cs="Tahoma"/>
      <w:b/>
      <w:bCs/>
      <w:color w:val="FF0000"/>
      <w:sz w:val="21"/>
      <w:szCs w:val="21"/>
    </w:rPr>
  </w:style>
  <w:style w:type="paragraph" w:customStyle="1" w:styleId="testi">
    <w:name w:val="testi"/>
    <w:basedOn w:val="Normale"/>
    <w:rsid w:val="00AD4CD2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character" w:customStyle="1" w:styleId="link-lila1">
    <w:name w:val="link-lila1"/>
    <w:basedOn w:val="Carpredefinitoparagrafo"/>
    <w:rsid w:val="00AD4CD2"/>
    <w:rPr>
      <w:rFonts w:ascii="Tahoma" w:hAnsi="Tahoma" w:cs="Tahoma" w:hint="default"/>
      <w:b/>
      <w:bCs/>
      <w:color w:val="FF0000"/>
      <w:sz w:val="18"/>
      <w:szCs w:val="18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1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1C3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la.it/it/nel-mondo/54-ias-2013/379-ias2013-02.html" TargetMode="External"/><Relationship Id="rId13" Type="http://schemas.openxmlformats.org/officeDocument/2006/relationships/hyperlink" Target="https://twitter.com/lila_itali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ila.it/it/nel-mondo/54-ias-2013/379-ias2013-02.html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hyperlink" Target="http://www.lila.it/it/nel-mondo/54-ias-2013/379-ias2013-02.html" TargetMode="External"/><Relationship Id="rId11" Type="http://schemas.openxmlformats.org/officeDocument/2006/relationships/hyperlink" Target="http://www.facebook.com/LILA.Onlus" TargetMode="External"/><Relationship Id="rId5" Type="http://schemas.openxmlformats.org/officeDocument/2006/relationships/hyperlink" Target="http://www.lila.it/it/nel-mondo/54-ias-2013/379-ias2013-02.html" TargetMode="External"/><Relationship Id="rId15" Type="http://schemas.openxmlformats.org/officeDocument/2006/relationships/hyperlink" Target="http://www.youtube.com/user/LilaOnlus" TargetMode="External"/><Relationship Id="rId10" Type="http://schemas.openxmlformats.org/officeDocument/2006/relationships/hyperlink" Target="http://www.lila.it" TargetMode="External"/><Relationship Id="rId4" Type="http://schemas.openxmlformats.org/officeDocument/2006/relationships/hyperlink" Target="http://www.lila.it/it/nel-mondo/54-ias-2013/379-ias2013-02.html" TargetMode="External"/><Relationship Id="rId9" Type="http://schemas.openxmlformats.org/officeDocument/2006/relationships/hyperlink" Target="http://pag.ias2013.org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2013-07-04T07:21:00Z</dcterms:created>
  <dcterms:modified xsi:type="dcterms:W3CDTF">2013-07-04T07:23:00Z</dcterms:modified>
</cp:coreProperties>
</file>